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AF35" w14:textId="273F1286" w:rsidR="00E637E7" w:rsidRDefault="00495B5B">
      <w:pPr>
        <w:rPr>
          <w:b/>
          <w:bCs/>
          <w:sz w:val="30"/>
          <w:szCs w:val="30"/>
        </w:rPr>
      </w:pPr>
      <w:r w:rsidRPr="00495B5B">
        <w:rPr>
          <w:b/>
          <w:bCs/>
          <w:sz w:val="30"/>
          <w:szCs w:val="30"/>
        </w:rPr>
        <w:t>Grundsätzliches zu den Konfi</w:t>
      </w:r>
      <w:r w:rsidR="00676697">
        <w:rPr>
          <w:b/>
          <w:bCs/>
          <w:sz w:val="30"/>
          <w:szCs w:val="30"/>
        </w:rPr>
        <w:t>-</w:t>
      </w:r>
      <w:r w:rsidRPr="00495B5B">
        <w:rPr>
          <w:b/>
          <w:bCs/>
          <w:sz w:val="30"/>
          <w:szCs w:val="30"/>
        </w:rPr>
        <w:t>3</w:t>
      </w:r>
      <w:r w:rsidR="00EC0640">
        <w:rPr>
          <w:b/>
          <w:bCs/>
          <w:sz w:val="30"/>
          <w:szCs w:val="30"/>
        </w:rPr>
        <w:t>-</w:t>
      </w:r>
      <w:r w:rsidRPr="00495B5B">
        <w:rPr>
          <w:b/>
          <w:bCs/>
          <w:sz w:val="30"/>
          <w:szCs w:val="30"/>
        </w:rPr>
        <w:t>Einheiten aus dem Buch „Was für Geschichten“</w:t>
      </w:r>
    </w:p>
    <w:p w14:paraId="0C444E5C" w14:textId="6EE37DD6" w:rsidR="00495B5B" w:rsidRDefault="00CB6F34">
      <w:pPr>
        <w:rPr>
          <w:sz w:val="24"/>
          <w:szCs w:val="24"/>
        </w:rPr>
      </w:pPr>
      <w:r>
        <w:rPr>
          <w:sz w:val="24"/>
          <w:szCs w:val="24"/>
        </w:rPr>
        <w:t xml:space="preserve">Literatur: </w:t>
      </w:r>
      <w:bookmarkStart w:id="0" w:name="_Hlk236138945"/>
      <w:r w:rsidRPr="00CB6F34">
        <w:rPr>
          <w:sz w:val="24"/>
          <w:szCs w:val="24"/>
        </w:rPr>
        <w:t>Babett Flügger, Christine Poppe; Was für Geschichten. Ein Konfi3-Jahr mit der Bibel gestalten, Gütersloh 2021</w:t>
      </w:r>
    </w:p>
    <w:p w14:paraId="70A09762" w14:textId="5B874907" w:rsidR="00CB6F34" w:rsidRDefault="00CB6F34">
      <w:pPr>
        <w:rPr>
          <w:sz w:val="24"/>
          <w:szCs w:val="24"/>
        </w:rPr>
      </w:pPr>
      <w:r>
        <w:rPr>
          <w:sz w:val="24"/>
          <w:szCs w:val="24"/>
        </w:rPr>
        <w:t>Vielen Dank an die Verfasserinnen, dass wir das Material hier zur Verfügung stellen dürfen!</w:t>
      </w:r>
    </w:p>
    <w:bookmarkEnd w:id="0"/>
    <w:p w14:paraId="35D94FB8" w14:textId="77777777" w:rsidR="00CB6F34" w:rsidRPr="00495B5B" w:rsidRDefault="00CB6F34">
      <w:pPr>
        <w:rPr>
          <w:sz w:val="24"/>
          <w:szCs w:val="24"/>
        </w:rPr>
      </w:pPr>
    </w:p>
    <w:p w14:paraId="5F7D5737" w14:textId="7D486BFA" w:rsidR="00495B5B" w:rsidRPr="00EC5AC7" w:rsidRDefault="00495B5B" w:rsidP="00495B5B">
      <w:pPr>
        <w:rPr>
          <w:b/>
          <w:bCs/>
          <w:sz w:val="24"/>
          <w:szCs w:val="24"/>
        </w:rPr>
      </w:pPr>
      <w:r w:rsidRPr="00EC5AC7">
        <w:rPr>
          <w:b/>
          <w:bCs/>
          <w:sz w:val="24"/>
          <w:szCs w:val="24"/>
        </w:rPr>
        <w:t>Religionspädagogische und didaktische Grundlagen</w:t>
      </w:r>
    </w:p>
    <w:p w14:paraId="03E8DA28" w14:textId="65B948DC" w:rsidR="00495B5B" w:rsidRPr="00EC5AC7" w:rsidRDefault="00495B5B" w:rsidP="00495B5B">
      <w:pPr>
        <w:rPr>
          <w:b/>
          <w:bCs/>
          <w:sz w:val="24"/>
          <w:szCs w:val="24"/>
        </w:rPr>
      </w:pPr>
      <w:r w:rsidRPr="00EC5AC7">
        <w:rPr>
          <w:sz w:val="24"/>
          <w:szCs w:val="24"/>
        </w:rPr>
        <w:t xml:space="preserve">Im Sinne der Subjektorientierung werden die Kinder </w:t>
      </w:r>
      <w:r w:rsidR="00EC0640">
        <w:rPr>
          <w:sz w:val="24"/>
          <w:szCs w:val="24"/>
        </w:rPr>
        <w:t xml:space="preserve">in den hier vorgestellten Materialien </w:t>
      </w:r>
      <w:r w:rsidRPr="00EC5AC7">
        <w:rPr>
          <w:sz w:val="24"/>
          <w:szCs w:val="24"/>
        </w:rPr>
        <w:t xml:space="preserve">in ihren subjektiven Erfahrungen </w:t>
      </w:r>
      <w:r>
        <w:rPr>
          <w:sz w:val="24"/>
          <w:szCs w:val="24"/>
        </w:rPr>
        <w:t>und Emotionen wahr- und ernstgen</w:t>
      </w:r>
      <w:r w:rsidRPr="00EC5AC7">
        <w:rPr>
          <w:sz w:val="24"/>
          <w:szCs w:val="24"/>
        </w:rPr>
        <w:t xml:space="preserve">ommen und darin begleitet, eigene Erfahrungen mit biblischen Erzählungen zu machen. Das religiöse Lernen wird vom Subjekt </w:t>
      </w:r>
      <w:proofErr w:type="gramStart"/>
      <w:r w:rsidRPr="00EC5AC7">
        <w:rPr>
          <w:sz w:val="24"/>
          <w:szCs w:val="24"/>
        </w:rPr>
        <w:t>aus gestaltet</w:t>
      </w:r>
      <w:proofErr w:type="gramEnd"/>
      <w:r w:rsidRPr="00EC5AC7">
        <w:rPr>
          <w:sz w:val="24"/>
          <w:szCs w:val="24"/>
        </w:rPr>
        <w:t>.</w:t>
      </w:r>
    </w:p>
    <w:p w14:paraId="1705E2E3" w14:textId="77777777" w:rsidR="00495B5B" w:rsidRPr="00EC5AC7"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b/>
          <w:bCs/>
          <w:sz w:val="24"/>
          <w:szCs w:val="24"/>
        </w:rPr>
      </w:pPr>
    </w:p>
    <w:p w14:paraId="57DDD456" w14:textId="0F651BC1"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xml:space="preserve">Die Stärkung einer emotionalen Kompetenz ist für diesen Ansatz grundlegend. Gefühle und auch ihre Deutungen entstehen auf der Grundlage einer Erfahrung, eines Problems, einer Frage. Und Gefühle berühren die grundlegenden Fragen der menschlichen Existenz. Viele religiöse Erzählungen sind als Deutungen dieser erlebten Gefühle entstanden und gleichzeitig sind sie Ausdruck religiöser Gewissheiten. Diese offenbaren sich in den erzählten biblischen Geschichten den Kindern durch die Erfahrungen, die biblischen Personen mit Gott machen. Durch einen emotionalen Zugang können die Kinder an eigenen Gefühlen anknüpfen und gleichzeitig die biblischen Erzählungen als Ausdruck von religiösen Erfahrungen und Gewissheiten deuten lernen. </w:t>
      </w:r>
    </w:p>
    <w:p w14:paraId="7427D815" w14:textId="77777777"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Auf diese Weise können mit Hilfe der biblischen Erzählungen „Brücken gebaut“ werden. Den Kindern wird ein Umgang mit biblischen Geschichten vermittelt, der nicht auf der Frage basiert, ob die Geschichte „wirklich“ passiert ist, also „wahr“ ist. Sondern die Geschichten werden als Brücken religiöser Gewissheiten in unsere heutige Lebenswelt betrachtet. Die Geschichten können den Kindern etwas über das Wirken Gottes in ihrem eigenen Leben erzählen.</w:t>
      </w:r>
    </w:p>
    <w:p w14:paraId="37998C99" w14:textId="1D6B57C9"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In der Absicht, den Kindern einen Deutungsrahmen anzubieten, kann deshalb nur ergebnisoffen gearbeitet werden. Die Kinder entscheiden, welche Deutungsmöglichkeiten sie für sich übernehmen. Sie können eigene Metaphern entwickeln, Verbindungen zwischen einzelnen Erzählungen und Erfahrungen schaffen, Gedanken annehmen und auch verwerfen. Sie drücken aus, was sie existentiell bewegt und herausfordert. Im Ansatz der Kindertheologie</w:t>
      </w:r>
      <w:r>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xml:space="preserve"> </w:t>
      </w: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werden die Kinder ermutigt, eben dies zu tun und damit auch ihre religiöse Kompetenz zu erweitern. Aus diesem Grund werden auch in den vorliegenden Einheiten immer wieder Gesprächsanlässe, gemeinsame theologische Gespräche, geschaffen, in denen den Kindern die Möglichkeit eröffnet wird, sich in ihrem religiösen Deutungsverständnis auszudrücken.</w:t>
      </w:r>
    </w:p>
    <w:p w14:paraId="18B3A3E0" w14:textId="77777777"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xml:space="preserve">Kinder im Grundschulalter beginnen, die übertragene Bedeutung von Symbolbildern zu entschlüsseln. Religiöse Symbole können eine große Tragfähigkeit entfalten und den Glauben nochmals auf einer anderen Ebene erlebbar machen. So ist es sinnvoll, erste Zugänge zu religiösen Sinnbildern anzubahnen. Viele Symbole sind in dem Lebensumfeld von Kindern verwurzelt (z.B. Licht, Brot, Wasser) und wenn die Symbolerschließung handlungsorientiert vollzogen wird, sind Kinder gerne bereit, die </w:t>
      </w: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lastRenderedPageBreak/>
        <w:t xml:space="preserve">Verbindung zwischen ihren Erfahrungen und der religiösen Deutungsebene </w:t>
      </w:r>
      <w:proofErr w:type="spellStart"/>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mitzuvollziehen</w:t>
      </w:r>
      <w:proofErr w:type="spellEnd"/>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w:t>
      </w:r>
    </w:p>
    <w:p w14:paraId="3EA27721" w14:textId="77777777"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Umgekehrt soll den Kindern z.B. in dem Kapitel „Gottesvorstellung“ ermöglicht werden, einen transzendenten Begriff wie „Gott</w:t>
      </w:r>
      <w:proofErr w:type="gramStart"/>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auf</w:t>
      </w:r>
      <w:proofErr w:type="gramEnd"/>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xml:space="preserve"> dem Hintergrund ihrer eigenen Erfahrungen in ihre eigenen Symbolbilder zu übersetzen.</w:t>
      </w:r>
    </w:p>
    <w:p w14:paraId="79C11403" w14:textId="60CDABFD" w:rsidR="00495B5B" w:rsidRPr="00495B5B" w:rsidRDefault="00495B5B" w:rsidP="00495B5B">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pPr>
      <w:r w:rsidRPr="00495B5B">
        <w:rPr>
          <w:rFonts w:asciiTheme="minorHAnsi" w:eastAsiaTheme="minorHAnsi" w:hAnsiTheme="minorHAnsi" w:cstheme="minorBidi"/>
          <w:color w:val="auto"/>
          <w:kern w:val="2"/>
          <w:sz w:val="24"/>
          <w:szCs w:val="24"/>
          <w:bdr w:val="none" w:sz="0" w:space="0" w:color="auto"/>
          <w:lang w:eastAsia="en-US"/>
          <w14:textOutline w14:w="0" w14:cap="rnd" w14:cmpd="sng" w14:algn="ctr">
            <w14:noFill/>
            <w14:prstDash w14:val="solid"/>
            <w14:bevel/>
          </w14:textOutline>
          <w14:ligatures w14:val="standardContextual"/>
        </w:rPr>
        <w:t xml:space="preserve">In den oftmals anschließenden kreativen Vertiefungsphasen können sich die Kinder den zentralen Fragen der Einheit nochmals mittels einer anderen Zugangsweise nähern. In allen Einheiten haben wir Wert auf unterschiedliche Zugangsweisen gelegt. Die biblischen Erzählungen werden oftmals visuell oder haptisch verstärkt. Die kreativen Aneignungswege beziehen in der Regel mehrere Sinne ein. Bewegungselemente - meist im Sinne von Spielen - haben in den meisten Einheiten einen festen Platz und sind bezogen auf das jeweilige Thema der Einheit. Dennoch ist gerade mit Blick auf die individuelle Gruppe mitunter noch die eine oder andere Anpassung vorzunehmen. Selten passt eine Methode für alle gleich gut. Je besser man seine Gruppe und die Fähigkeiten der einzelnen Kinder kennt, desto besser kann man die Methoden an die Bedürfnisse anpassen. </w:t>
      </w:r>
    </w:p>
    <w:p w14:paraId="7F29ADEC" w14:textId="77777777" w:rsidR="00495B5B" w:rsidRDefault="00495B5B" w:rsidP="00495B5B">
      <w:pPr>
        <w:rPr>
          <w:sz w:val="24"/>
          <w:szCs w:val="24"/>
        </w:rPr>
      </w:pPr>
    </w:p>
    <w:p w14:paraId="194C2AE8" w14:textId="76BD258C" w:rsidR="00CB6F34" w:rsidRDefault="00CB6F34" w:rsidP="00495B5B">
      <w:pPr>
        <w:rPr>
          <w:sz w:val="24"/>
          <w:szCs w:val="24"/>
        </w:rPr>
      </w:pPr>
      <w:r>
        <w:rPr>
          <w:sz w:val="24"/>
          <w:szCs w:val="24"/>
        </w:rPr>
        <w:t>Das Buch bezieht sich ursprünglich auf einen Konfi 3-Kurs in der Kirchengemeinde.</w:t>
      </w:r>
    </w:p>
    <w:p w14:paraId="790CAFB2" w14:textId="7BDE0794" w:rsidR="00CB6F34" w:rsidRDefault="00CB6F34" w:rsidP="00495B5B">
      <w:pPr>
        <w:rPr>
          <w:sz w:val="24"/>
          <w:szCs w:val="24"/>
        </w:rPr>
      </w:pPr>
      <w:r>
        <w:rPr>
          <w:sz w:val="24"/>
          <w:szCs w:val="24"/>
        </w:rPr>
        <w:t xml:space="preserve">Alle Einheiten müssen vor Gebrauch darauf durchgesehen werden, was unter den gegebenen Umständen in der Schule </w:t>
      </w:r>
      <w:r w:rsidR="000F53AA">
        <w:rPr>
          <w:sz w:val="24"/>
          <w:szCs w:val="24"/>
        </w:rPr>
        <w:t>angepasst werden muss. Dies gilt auch, wenn die Einheiten nicht in der dritten, sondern der vierten Klassenstufe Anwendung finden sollen.</w:t>
      </w:r>
    </w:p>
    <w:p w14:paraId="7514D6D1" w14:textId="77777777" w:rsidR="00CB6F34" w:rsidRPr="00495B5B" w:rsidRDefault="00CB6F34" w:rsidP="00495B5B">
      <w:pPr>
        <w:rPr>
          <w:sz w:val="24"/>
          <w:szCs w:val="24"/>
        </w:rPr>
      </w:pPr>
    </w:p>
    <w:p w14:paraId="6DA1E41A" w14:textId="45FA4019" w:rsidR="00495B5B" w:rsidRPr="00495B5B" w:rsidRDefault="00495B5B">
      <w:pPr>
        <w:rPr>
          <w:b/>
          <w:bCs/>
          <w:sz w:val="28"/>
          <w:szCs w:val="28"/>
        </w:rPr>
      </w:pPr>
      <w:r w:rsidRPr="00495B5B">
        <w:rPr>
          <w:b/>
          <w:bCs/>
          <w:sz w:val="28"/>
          <w:szCs w:val="28"/>
        </w:rPr>
        <w:t>Material, dass immer vorhanden sein sollte:</w:t>
      </w:r>
    </w:p>
    <w:p w14:paraId="57EFC3DB"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Korb mit Steinen in verschiedenen Größen</w:t>
      </w:r>
    </w:p>
    <w:p w14:paraId="24399415"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Korb mit Teelichten</w:t>
      </w:r>
    </w:p>
    <w:p w14:paraId="4FF2B634"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Feuerzeug oder Streichhölzer</w:t>
      </w:r>
    </w:p>
    <w:p w14:paraId="2D44DB28"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Große Kerze</w:t>
      </w:r>
    </w:p>
    <w:p w14:paraId="45986772" w14:textId="17A4CE81"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Baumwolltücher in verschiedenen Farben (grün, braun, schwarz, gelb, …)</w:t>
      </w:r>
    </w:p>
    <w:p w14:paraId="02C5590F"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Legematerialien (Glasnuggets, Holzperlen, Edelsteine etc.)</w:t>
      </w:r>
    </w:p>
    <w:p w14:paraId="67F6435A"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Papier in verschiedenen Größen (DIN A6, Din A4 und DIN A3)</w:t>
      </w:r>
    </w:p>
    <w:p w14:paraId="6D82C8A9"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 xml:space="preserve">Verschiedene Gestaltungsmaterialien </w:t>
      </w:r>
      <w:proofErr w:type="gramStart"/>
      <w:r w:rsidRPr="00495B5B">
        <w:rPr>
          <w:rFonts w:asciiTheme="minorHAnsi" w:eastAsia="Arial Unicode MS" w:hAnsiTheme="minorHAnsi" w:cs="Arial"/>
          <w:sz w:val="24"/>
          <w:szCs w:val="24"/>
        </w:rPr>
        <w:t>( Glitzer</w:t>
      </w:r>
      <w:proofErr w:type="gramEnd"/>
      <w:r w:rsidRPr="00495B5B">
        <w:rPr>
          <w:rFonts w:asciiTheme="minorHAnsi" w:eastAsia="Arial Unicode MS" w:hAnsiTheme="minorHAnsi" w:cs="Arial"/>
          <w:sz w:val="24"/>
          <w:szCs w:val="24"/>
        </w:rPr>
        <w:t>, Washi-Tape, Watte und was der Bastelschrank sonst noch zu bieten hat)</w:t>
      </w:r>
    </w:p>
    <w:p w14:paraId="4D58DAA1"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Scheren</w:t>
      </w:r>
    </w:p>
    <w:p w14:paraId="64C8273B"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Tusche und Pinsel</w:t>
      </w:r>
    </w:p>
    <w:p w14:paraId="6D95ECFB"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Kleber</w:t>
      </w:r>
    </w:p>
    <w:p w14:paraId="2BB13E43"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Bleistifte</w:t>
      </w:r>
    </w:p>
    <w:p w14:paraId="49AE6B87"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 xml:space="preserve">Buntstifte </w:t>
      </w:r>
    </w:p>
    <w:p w14:paraId="435FF60E" w14:textId="77777777" w:rsidR="00495B5B" w:rsidRPr="00495B5B" w:rsidRDefault="00495B5B" w:rsidP="00495B5B">
      <w:pPr>
        <w:pStyle w:val="Text"/>
        <w:numPr>
          <w:ilvl w:val="0"/>
          <w:numId w:val="3"/>
        </w:numPr>
        <w:rPr>
          <w:rFonts w:asciiTheme="minorHAnsi" w:hAnsiTheme="minorHAnsi" w:cs="Arial"/>
          <w:sz w:val="24"/>
          <w:szCs w:val="24"/>
        </w:rPr>
      </w:pPr>
      <w:r w:rsidRPr="00495B5B">
        <w:rPr>
          <w:rFonts w:asciiTheme="minorHAnsi" w:eastAsia="Arial Unicode MS" w:hAnsiTheme="minorHAnsi" w:cs="Arial"/>
          <w:sz w:val="24"/>
          <w:szCs w:val="24"/>
        </w:rPr>
        <w:t>Wachsmaler</w:t>
      </w:r>
    </w:p>
    <w:p w14:paraId="74A4236B" w14:textId="77777777" w:rsidR="00495B5B" w:rsidRPr="00495B5B" w:rsidRDefault="00495B5B">
      <w:pPr>
        <w:rPr>
          <w:sz w:val="24"/>
          <w:szCs w:val="24"/>
        </w:rPr>
      </w:pPr>
    </w:p>
    <w:p w14:paraId="24770C25" w14:textId="77777777" w:rsidR="00495B5B" w:rsidRPr="00495B5B" w:rsidRDefault="00495B5B">
      <w:pPr>
        <w:rPr>
          <w:sz w:val="24"/>
          <w:szCs w:val="24"/>
        </w:rPr>
      </w:pPr>
    </w:p>
    <w:sectPr w:rsidR="00495B5B" w:rsidRPr="00495B5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F74A" w14:textId="77777777" w:rsidR="005B29A1" w:rsidRDefault="005B29A1" w:rsidP="00495B5B">
      <w:pPr>
        <w:spacing w:after="0" w:line="240" w:lineRule="auto"/>
      </w:pPr>
      <w:r>
        <w:separator/>
      </w:r>
    </w:p>
  </w:endnote>
  <w:endnote w:type="continuationSeparator" w:id="0">
    <w:p w14:paraId="0DFE02F9" w14:textId="77777777" w:rsidR="005B29A1" w:rsidRDefault="005B29A1" w:rsidP="0049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9DA6F" w14:textId="77777777" w:rsidR="005B29A1" w:rsidRDefault="005B29A1" w:rsidP="00495B5B">
      <w:pPr>
        <w:spacing w:after="0" w:line="240" w:lineRule="auto"/>
      </w:pPr>
      <w:r>
        <w:separator/>
      </w:r>
    </w:p>
  </w:footnote>
  <w:footnote w:type="continuationSeparator" w:id="0">
    <w:p w14:paraId="7277F8B1" w14:textId="77777777" w:rsidR="005B29A1" w:rsidRDefault="005B29A1" w:rsidP="00495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133A8"/>
    <w:multiLevelType w:val="hybridMultilevel"/>
    <w:tmpl w:val="ED7069AE"/>
    <w:styleLink w:val="Punkte"/>
    <w:lvl w:ilvl="0" w:tplc="C266697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3F96AE5E">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BC244334">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9E5E0AEC">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640A4EE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1F46C8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2006D0A4">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B386B36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16A8944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72F753E"/>
    <w:multiLevelType w:val="hybridMultilevel"/>
    <w:tmpl w:val="531838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72C2F71"/>
    <w:multiLevelType w:val="hybridMultilevel"/>
    <w:tmpl w:val="ED7069AE"/>
    <w:numStyleLink w:val="Punkte"/>
  </w:abstractNum>
  <w:num w:numId="1" w16cid:durableId="1093161873">
    <w:abstractNumId w:val="0"/>
  </w:num>
  <w:num w:numId="2" w16cid:durableId="1133673475">
    <w:abstractNumId w:val="2"/>
  </w:num>
  <w:num w:numId="3" w16cid:durableId="114284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5B"/>
    <w:rsid w:val="000F53AA"/>
    <w:rsid w:val="00222B28"/>
    <w:rsid w:val="00282DE4"/>
    <w:rsid w:val="002C2839"/>
    <w:rsid w:val="0032626F"/>
    <w:rsid w:val="00484AE6"/>
    <w:rsid w:val="00495B5B"/>
    <w:rsid w:val="005B29A1"/>
    <w:rsid w:val="00676697"/>
    <w:rsid w:val="0089765A"/>
    <w:rsid w:val="00AB4DFF"/>
    <w:rsid w:val="00B0372A"/>
    <w:rsid w:val="00B10D52"/>
    <w:rsid w:val="00B477D5"/>
    <w:rsid w:val="00BB75B9"/>
    <w:rsid w:val="00CB6F34"/>
    <w:rsid w:val="00E01556"/>
    <w:rsid w:val="00E637E7"/>
    <w:rsid w:val="00EC0640"/>
    <w:rsid w:val="00F61F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1829"/>
  <w15:chartTrackingRefBased/>
  <w15:docId w15:val="{3F11AD63-8F7B-4E52-AAC4-92AE6E73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5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95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95B5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95B5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5B5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5B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5B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5B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5B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5B5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5B5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5B5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5B5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5B5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5B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5B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5B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5B5B"/>
    <w:rPr>
      <w:rFonts w:eastAsiaTheme="majorEastAsia" w:cstheme="majorBidi"/>
      <w:color w:val="272727" w:themeColor="text1" w:themeTint="D8"/>
    </w:rPr>
  </w:style>
  <w:style w:type="paragraph" w:styleId="Titel">
    <w:name w:val="Title"/>
    <w:basedOn w:val="Standard"/>
    <w:next w:val="Standard"/>
    <w:link w:val="TitelZchn"/>
    <w:uiPriority w:val="10"/>
    <w:qFormat/>
    <w:rsid w:val="00495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5B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5B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5B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5B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5B5B"/>
    <w:rPr>
      <w:i/>
      <w:iCs/>
      <w:color w:val="404040" w:themeColor="text1" w:themeTint="BF"/>
    </w:rPr>
  </w:style>
  <w:style w:type="paragraph" w:styleId="Listenabsatz">
    <w:name w:val="List Paragraph"/>
    <w:basedOn w:val="Standard"/>
    <w:uiPriority w:val="34"/>
    <w:qFormat/>
    <w:rsid w:val="00495B5B"/>
    <w:pPr>
      <w:ind w:left="720"/>
      <w:contextualSpacing/>
    </w:pPr>
  </w:style>
  <w:style w:type="character" w:styleId="IntensiveHervorhebung">
    <w:name w:val="Intense Emphasis"/>
    <w:basedOn w:val="Absatz-Standardschriftart"/>
    <w:uiPriority w:val="21"/>
    <w:qFormat/>
    <w:rsid w:val="00495B5B"/>
    <w:rPr>
      <w:i/>
      <w:iCs/>
      <w:color w:val="0F4761" w:themeColor="accent1" w:themeShade="BF"/>
    </w:rPr>
  </w:style>
  <w:style w:type="paragraph" w:styleId="IntensivesZitat">
    <w:name w:val="Intense Quote"/>
    <w:basedOn w:val="Standard"/>
    <w:next w:val="Standard"/>
    <w:link w:val="IntensivesZitatZchn"/>
    <w:uiPriority w:val="30"/>
    <w:qFormat/>
    <w:rsid w:val="00495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5B5B"/>
    <w:rPr>
      <w:i/>
      <w:iCs/>
      <w:color w:val="0F4761" w:themeColor="accent1" w:themeShade="BF"/>
    </w:rPr>
  </w:style>
  <w:style w:type="character" w:styleId="IntensiverVerweis">
    <w:name w:val="Intense Reference"/>
    <w:basedOn w:val="Absatz-Standardschriftart"/>
    <w:uiPriority w:val="32"/>
    <w:qFormat/>
    <w:rsid w:val="00495B5B"/>
    <w:rPr>
      <w:b/>
      <w:bCs/>
      <w:smallCaps/>
      <w:color w:val="0F4761" w:themeColor="accent1" w:themeShade="BF"/>
      <w:spacing w:val="5"/>
    </w:rPr>
  </w:style>
  <w:style w:type="paragraph" w:customStyle="1" w:styleId="Text">
    <w:name w:val="Text"/>
    <w:rsid w:val="00495B5B"/>
    <w:pPr>
      <w:pBdr>
        <w:top w:val="nil"/>
        <w:left w:val="nil"/>
        <w:bottom w:val="nil"/>
        <w:right w:val="nil"/>
        <w:between w:val="nil"/>
        <w:bar w:val="nil"/>
      </w:pBdr>
      <w:spacing w:after="0" w:line="240" w:lineRule="auto"/>
    </w:pPr>
    <w:rPr>
      <w:rFonts w:ascii="Helvetica Neue" w:eastAsia="Helvetica Neue" w:hAnsi="Helvetica Neue" w:cs="Helvetica Neue"/>
      <w:color w:val="000000"/>
      <w:kern w:val="0"/>
      <w:bdr w:val="nil"/>
      <w:lang w:eastAsia="de-DE"/>
      <w14:textOutline w14:w="0" w14:cap="flat" w14:cmpd="sng" w14:algn="ctr">
        <w14:noFill/>
        <w14:prstDash w14:val="solid"/>
        <w14:bevel/>
      </w14:textOutline>
      <w14:ligatures w14:val="none"/>
    </w:rPr>
  </w:style>
  <w:style w:type="numbering" w:customStyle="1" w:styleId="Punkte">
    <w:name w:val="Punkte"/>
    <w:rsid w:val="00495B5B"/>
    <w:pPr>
      <w:numPr>
        <w:numId w:val="1"/>
      </w:numPr>
    </w:pPr>
  </w:style>
  <w:style w:type="paragraph" w:customStyle="1" w:styleId="FunoteA">
    <w:name w:val="Fußnote A"/>
    <w:rsid w:val="00495B5B"/>
    <w:pPr>
      <w:pBdr>
        <w:top w:val="nil"/>
        <w:left w:val="nil"/>
        <w:bottom w:val="nil"/>
        <w:right w:val="nil"/>
        <w:between w:val="nil"/>
        <w:bar w:val="nil"/>
      </w:pBdr>
      <w:spacing w:after="0" w:line="240" w:lineRule="auto"/>
    </w:pPr>
    <w:rPr>
      <w:rFonts w:ascii="Helvetica Neue" w:eastAsia="Helvetica Neue" w:hAnsi="Helvetica Neue" w:cs="Helvetica Neue"/>
      <w:color w:val="000000"/>
      <w:kern w:val="0"/>
      <w:u w:color="000000"/>
      <w:bdr w:val="nil"/>
      <w:lang w:eastAsia="de-DE"/>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4380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Damm-Wagenitz, Karsten ()</dc:creator>
  <cp:keywords/>
  <dc:description/>
  <cp:lastModifiedBy>Lothar Veit</cp:lastModifiedBy>
  <cp:revision>2</cp:revision>
  <dcterms:created xsi:type="dcterms:W3CDTF">2026-08-10T10:51:00Z</dcterms:created>
  <dcterms:modified xsi:type="dcterms:W3CDTF">2026-08-10T10:51:00Z</dcterms:modified>
</cp:coreProperties>
</file>